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880B" w14:textId="77777777" w:rsidR="004D5775" w:rsidRDefault="004D5775" w:rsidP="004D5775">
      <w:pPr>
        <w:pStyle w:val="Title"/>
      </w:pPr>
      <w:r>
        <w:t>Comparison of Financial Performance: Bank of China, ICBC, and CCB in 2023</w:t>
      </w:r>
    </w:p>
    <w:p w14:paraId="11E6F89C" w14:textId="77777777" w:rsidR="004D5775" w:rsidRDefault="004D5775" w:rsidP="004D5775">
      <w:pPr>
        <w:pStyle w:val="Subtitle"/>
      </w:pPr>
      <w:r>
        <w:t>An in-depth analysis of the financial metrics and growth of three major Chinese banks</w:t>
      </w:r>
    </w:p>
    <w:p w14:paraId="00D5CA19" w14:textId="77777777" w:rsidR="004D5775" w:rsidRDefault="004D5775" w:rsidP="004D5775">
      <w:pPr>
        <w:pStyle w:val="Heading1"/>
      </w:pPr>
      <w:r>
        <w:t>Overview</w:t>
      </w:r>
    </w:p>
    <w:p w14:paraId="229F5946" w14:textId="77777777" w:rsidR="004D5775" w:rsidRDefault="004D5775" w:rsidP="004D5775">
      <w:r w:rsidRPr="004D5775">
        <w:t>In 2023, the financial performance of three major Chinese banks—Bank of China (BOC), Industrial and Commercial Bank of China (ICBC), and China Construction Bank (CCB)—demonstrated significant growth and stability. This document provides a detailed comparison of their key financial metrics, performance by segments, and overall financial health.</w:t>
      </w:r>
    </w:p>
    <w:p w14:paraId="11B20D37" w14:textId="77777777" w:rsidR="004D5775" w:rsidRDefault="004D5775" w:rsidP="004D5775">
      <w:pPr>
        <w:pStyle w:val="Heading1"/>
      </w:pPr>
      <w:r>
        <w:t>Annual Financial Highlights</w:t>
      </w:r>
    </w:p>
    <w:p w14:paraId="1D76842F" w14:textId="77777777" w:rsidR="004D5775" w:rsidRDefault="004D5775" w:rsidP="004D5775">
      <w:pPr>
        <w:pStyle w:val="Heading2"/>
      </w:pPr>
      <w:r>
        <w:t>Operating Revenue and Profit</w:t>
      </w:r>
    </w:p>
    <w:p w14:paraId="2E5C5B8D" w14:textId="77777777" w:rsidR="004D5775" w:rsidRDefault="004D5775" w:rsidP="004D5775">
      <w:pPr>
        <w:pStyle w:val="ListParagraph"/>
        <w:numPr>
          <w:ilvl w:val="0"/>
          <w:numId w:val="1"/>
        </w:numPr>
      </w:pPr>
      <w:r w:rsidRPr="004D5775">
        <w:t>ICBC: The bank reported an operating revenue of RMB 843,070 million and an operating profit of RMB 420,760 million. The net profit stood at RMB 365,116 million.</w:t>
      </w:r>
    </w:p>
    <w:p w14:paraId="13F53F00" w14:textId="77777777" w:rsidR="004D5775" w:rsidRDefault="004D5775" w:rsidP="004D5775">
      <w:pPr>
        <w:pStyle w:val="ListParagraph"/>
        <w:numPr>
          <w:ilvl w:val="0"/>
          <w:numId w:val="1"/>
        </w:numPr>
      </w:pPr>
      <w:r w:rsidRPr="004D5775">
        <w:t>BOC: The operating income was RMB 624,138 million, with an operating profit of RMB 294,643 million. The net profit after tax was RMB 246,371 million.</w:t>
      </w:r>
    </w:p>
    <w:p w14:paraId="7E6ECC88" w14:textId="77777777" w:rsidR="004D5775" w:rsidRDefault="004D5775" w:rsidP="004D5775">
      <w:pPr>
        <w:pStyle w:val="ListParagraph"/>
        <w:numPr>
          <w:ilvl w:val="0"/>
          <w:numId w:val="1"/>
        </w:numPr>
      </w:pPr>
      <w:r w:rsidRPr="004D5775">
        <w:t>CCB: The operating income was RMB 769,740 million, but it experienced a slight decrease of 1.79% compared to the previous year. The net profit was RMB 332,460 million.</w:t>
      </w:r>
    </w:p>
    <w:p w14:paraId="19E650B4" w14:textId="77777777" w:rsidR="004D5775" w:rsidRDefault="004D5775" w:rsidP="004D5775">
      <w:pPr>
        <w:pStyle w:val="Heading2"/>
      </w:pPr>
      <w:r>
        <w:t>Assets and Liabilities</w:t>
      </w:r>
    </w:p>
    <w:p w14:paraId="5B868749" w14:textId="77777777" w:rsidR="004D5775" w:rsidRDefault="004D5775" w:rsidP="004D5775">
      <w:pPr>
        <w:pStyle w:val="ListParagraph"/>
        <w:numPr>
          <w:ilvl w:val="0"/>
          <w:numId w:val="2"/>
        </w:numPr>
      </w:pPr>
      <w:r w:rsidRPr="004D5775">
        <w:t>ICBC: Total assets amounted to RMB 44,697,079 million, and total liabilities were RMB 40,920,491 million. The total equity attributable to shareholders was RMB 3,756,887 million.</w:t>
      </w:r>
    </w:p>
    <w:p w14:paraId="6B931814" w14:textId="77777777" w:rsidR="004D5775" w:rsidRDefault="004D5775" w:rsidP="004D5775">
      <w:pPr>
        <w:pStyle w:val="ListParagraph"/>
        <w:numPr>
          <w:ilvl w:val="0"/>
          <w:numId w:val="2"/>
        </w:numPr>
      </w:pPr>
      <w:r w:rsidRPr="004D5775">
        <w:t>BOC: Total assets reached RMB 32.432 trillion, reflecting a 12.25% increase from the previous year. Total liabilities stood at RMB 29.675 trillion.</w:t>
      </w:r>
    </w:p>
    <w:p w14:paraId="40D74BE2" w14:textId="77777777" w:rsidR="004D5775" w:rsidRDefault="004D5775" w:rsidP="004D5775">
      <w:pPr>
        <w:pStyle w:val="ListParagraph"/>
        <w:numPr>
          <w:ilvl w:val="0"/>
          <w:numId w:val="2"/>
        </w:numPr>
      </w:pPr>
      <w:r w:rsidRPr="004D5775">
        <w:t>CCB: The bank's total assets were RMB 38.32 trillion, showing a 10.76% increase. Total liabilities were RMB 35.15 trillion.</w:t>
      </w:r>
    </w:p>
    <w:p w14:paraId="1E4B30D0" w14:textId="77777777" w:rsidR="004D5775" w:rsidRDefault="004D5775" w:rsidP="004D5775">
      <w:pPr>
        <w:pStyle w:val="Heading1"/>
      </w:pPr>
      <w:r>
        <w:t>Per Share Data</w:t>
      </w:r>
    </w:p>
    <w:p w14:paraId="31707438" w14:textId="77777777" w:rsidR="004D5775" w:rsidRDefault="004D5775" w:rsidP="004D5775">
      <w:pPr>
        <w:pStyle w:val="ListParagraph"/>
        <w:numPr>
          <w:ilvl w:val="0"/>
          <w:numId w:val="3"/>
        </w:numPr>
      </w:pPr>
      <w:r w:rsidRPr="004D5775">
        <w:t>ICBC: Basic and diluted earnings per share were both RMB 0.98. Net assets per share stood at RMB 9.55.</w:t>
      </w:r>
    </w:p>
    <w:p w14:paraId="2538B1D6" w14:textId="77777777" w:rsidR="004D5775" w:rsidRDefault="004D5775" w:rsidP="004D5775">
      <w:pPr>
        <w:pStyle w:val="ListParagraph"/>
        <w:numPr>
          <w:ilvl w:val="0"/>
          <w:numId w:val="3"/>
        </w:numPr>
      </w:pPr>
      <w:r w:rsidRPr="004D5775">
        <w:t>BOC: Basic earnings per share were RMB 0.74.</w:t>
      </w:r>
    </w:p>
    <w:p w14:paraId="5C921424" w14:textId="77777777" w:rsidR="004D5775" w:rsidRDefault="004D5775" w:rsidP="004D5775">
      <w:pPr>
        <w:pStyle w:val="Heading1"/>
      </w:pPr>
      <w:r>
        <w:lastRenderedPageBreak/>
        <w:t>Key Financial Ratios</w:t>
      </w:r>
    </w:p>
    <w:p w14:paraId="16DE77DD" w14:textId="77777777" w:rsidR="004D5775" w:rsidRDefault="004D5775" w:rsidP="004D5775">
      <w:pPr>
        <w:pStyle w:val="ListParagraph"/>
        <w:numPr>
          <w:ilvl w:val="0"/>
          <w:numId w:val="4"/>
        </w:numPr>
      </w:pPr>
      <w:r w:rsidRPr="004D5775">
        <w:t>ICBC:</w:t>
      </w:r>
    </w:p>
    <w:p w14:paraId="6828110E" w14:textId="77777777" w:rsidR="004D5775" w:rsidRDefault="004D5775" w:rsidP="004D5775">
      <w:pPr>
        <w:pStyle w:val="ListParagraph"/>
        <w:numPr>
          <w:ilvl w:val="0"/>
          <w:numId w:val="4"/>
        </w:numPr>
      </w:pPr>
      <w:r w:rsidRPr="004D5775">
        <w:t>Return on Average Total Assets (ROA): 0.87%</w:t>
      </w:r>
    </w:p>
    <w:p w14:paraId="3752D652" w14:textId="77777777" w:rsidR="004D5775" w:rsidRDefault="004D5775" w:rsidP="004D5775">
      <w:pPr>
        <w:pStyle w:val="ListParagraph"/>
        <w:numPr>
          <w:ilvl w:val="0"/>
          <w:numId w:val="4"/>
        </w:numPr>
      </w:pPr>
      <w:r w:rsidRPr="004D5775">
        <w:t>Return on Weighted Average Net Assets (ROE): 10.66%</w:t>
      </w:r>
    </w:p>
    <w:p w14:paraId="3B0501E3" w14:textId="77777777" w:rsidR="004D5775" w:rsidRDefault="004D5775" w:rsidP="004D5775">
      <w:pPr>
        <w:pStyle w:val="ListParagraph"/>
        <w:numPr>
          <w:ilvl w:val="0"/>
          <w:numId w:val="4"/>
        </w:numPr>
      </w:pPr>
      <w:r w:rsidRPr="004D5775">
        <w:t>Net Interest Spread: 1.41%</w:t>
      </w:r>
    </w:p>
    <w:p w14:paraId="60FC57B0" w14:textId="77777777" w:rsidR="004D5775" w:rsidRDefault="004D5775" w:rsidP="004D5775">
      <w:pPr>
        <w:pStyle w:val="ListParagraph"/>
        <w:numPr>
          <w:ilvl w:val="0"/>
          <w:numId w:val="4"/>
        </w:numPr>
      </w:pPr>
      <w:r w:rsidRPr="004D5775">
        <w:t>Net Interest Margin: 1.61%</w:t>
      </w:r>
    </w:p>
    <w:p w14:paraId="033CF7FC" w14:textId="77777777" w:rsidR="004D5775" w:rsidRDefault="004D5775" w:rsidP="004D5775">
      <w:pPr>
        <w:pStyle w:val="ListParagraph"/>
        <w:numPr>
          <w:ilvl w:val="0"/>
          <w:numId w:val="4"/>
        </w:numPr>
      </w:pPr>
      <w:r w:rsidRPr="004D5775">
        <w:t>Non-Performing Loan Ratio: 1.36%</w:t>
      </w:r>
    </w:p>
    <w:p w14:paraId="15067E43" w14:textId="77777777" w:rsidR="004D5775" w:rsidRDefault="004D5775" w:rsidP="004D5775">
      <w:pPr>
        <w:pStyle w:val="ListParagraph"/>
        <w:numPr>
          <w:ilvl w:val="0"/>
          <w:numId w:val="4"/>
        </w:numPr>
      </w:pPr>
      <w:r w:rsidRPr="004D5775">
        <w:t>Provision Coverage Ratio: 213.97%</w:t>
      </w:r>
    </w:p>
    <w:p w14:paraId="0552E191" w14:textId="77777777" w:rsidR="004D5775" w:rsidRDefault="004D5775" w:rsidP="004D5775">
      <w:pPr>
        <w:pStyle w:val="ListParagraph"/>
        <w:numPr>
          <w:ilvl w:val="0"/>
          <w:numId w:val="4"/>
        </w:numPr>
      </w:pPr>
      <w:r w:rsidRPr="004D5775">
        <w:t>Cost-to-Income Ratio: 26.96%</w:t>
      </w:r>
    </w:p>
    <w:p w14:paraId="1462CC94" w14:textId="77777777" w:rsidR="004D5775" w:rsidRDefault="004D5775" w:rsidP="004D5775">
      <w:r w:rsidRPr="004D5775">
        <w:t>BOC:</w:t>
      </w:r>
    </w:p>
    <w:p w14:paraId="12A11AB9" w14:textId="77777777" w:rsidR="004D5775" w:rsidRDefault="004D5775" w:rsidP="004D5775">
      <w:r w:rsidRPr="004D5775">
        <w:t>Return on Average Total Assets (ROA): 0.80%</w:t>
      </w:r>
    </w:p>
    <w:p w14:paraId="3A4E4440" w14:textId="77777777" w:rsidR="004D5775" w:rsidRDefault="004D5775" w:rsidP="004D5775">
      <w:r w:rsidRPr="004D5775">
        <w:t>Return on Equity (ROE): 10.12%</w:t>
      </w:r>
    </w:p>
    <w:p w14:paraId="04FCA686" w14:textId="77777777" w:rsidR="004D5775" w:rsidRDefault="004D5775" w:rsidP="004D5775">
      <w:r w:rsidRPr="004D5775">
        <w:t>Cost-to-Income Ratio: 28.50%</w:t>
      </w:r>
    </w:p>
    <w:p w14:paraId="300D3C8C" w14:textId="77777777" w:rsidR="004D5775" w:rsidRDefault="004D5775" w:rsidP="004D5775">
      <w:r w:rsidRPr="004D5775">
        <w:t>Non-Performing Loan Ratio: 1.27%</w:t>
      </w:r>
    </w:p>
    <w:p w14:paraId="1CB3688D" w14:textId="77777777" w:rsidR="004D5775" w:rsidRDefault="004D5775" w:rsidP="004D5775">
      <w:r w:rsidRPr="004D5775">
        <w:t>Provision Coverage Ratio: 191.66%</w:t>
      </w:r>
    </w:p>
    <w:p w14:paraId="3B12946F" w14:textId="77777777" w:rsidR="004D5775" w:rsidRDefault="004D5775" w:rsidP="004D5775">
      <w:r w:rsidRPr="004D5775">
        <w:t>CCB:</w:t>
      </w:r>
    </w:p>
    <w:p w14:paraId="2DE89BCA" w14:textId="77777777" w:rsidR="004D5775" w:rsidRDefault="004D5775" w:rsidP="004D5775">
      <w:r w:rsidRPr="004D5775">
        <w:t>Return on Assets (ROA): 0.91%</w:t>
      </w:r>
    </w:p>
    <w:p w14:paraId="7881DB22" w14:textId="77777777" w:rsidR="004D5775" w:rsidRDefault="004D5775" w:rsidP="004D5775">
      <w:r w:rsidRPr="004D5775">
        <w:t>Return on Equity (ROE): 11.56%</w:t>
      </w:r>
    </w:p>
    <w:p w14:paraId="0EFDBCD9" w14:textId="77777777" w:rsidR="004D5775" w:rsidRDefault="004D5775" w:rsidP="004D5775">
      <w:r w:rsidRPr="004D5775">
        <w:t>Cost-to-Income Ratio: 28.20%</w:t>
      </w:r>
    </w:p>
    <w:p w14:paraId="2753562C" w14:textId="77777777" w:rsidR="004D5775" w:rsidRDefault="004D5775" w:rsidP="004D5775">
      <w:r w:rsidRPr="004D5775">
        <w:t>Non-Performing Loan Ratio: 1.37%</w:t>
      </w:r>
    </w:p>
    <w:p w14:paraId="5FFBF394" w14:textId="77777777" w:rsidR="004D5775" w:rsidRDefault="004D5775" w:rsidP="004D5775">
      <w:r w:rsidRPr="004D5775">
        <w:t>Provision Coverage Ratio: 239.85%</w:t>
      </w:r>
    </w:p>
    <w:p w14:paraId="6DA2A0B0" w14:textId="77777777" w:rsidR="004D5775" w:rsidRDefault="004D5775" w:rsidP="004D5775">
      <w:pPr>
        <w:pStyle w:val="Heading1"/>
      </w:pPr>
      <w:r>
        <w:t>Quarterly Financial Data</w:t>
      </w:r>
    </w:p>
    <w:p w14:paraId="4DCF84E3" w14:textId="77777777" w:rsidR="004D5775" w:rsidRDefault="004D5775" w:rsidP="004D5775">
      <w:r w:rsidRPr="004D5775">
        <w:t>For ICBC, the quarterly breakdown of operating revenue and net profit attributable to shareholders was as follows:</w:t>
      </w:r>
    </w:p>
    <w:p w14:paraId="403256F0" w14:textId="77777777" w:rsidR="004D5775" w:rsidRDefault="004D5775" w:rsidP="004D5775">
      <w:pPr>
        <w:pStyle w:val="ListParagraph"/>
        <w:numPr>
          <w:ilvl w:val="0"/>
          <w:numId w:val="5"/>
        </w:numPr>
      </w:pPr>
      <w:r w:rsidRPr="004D5775">
        <w:t>Q1 Operating Revenue: RMB 227,596 million; Net Profit: RMB 90,164 million</w:t>
      </w:r>
    </w:p>
    <w:p w14:paraId="0FD98864" w14:textId="77777777" w:rsidR="004D5775" w:rsidRDefault="004D5775" w:rsidP="004D5775">
      <w:pPr>
        <w:pStyle w:val="ListParagraph"/>
        <w:numPr>
          <w:ilvl w:val="0"/>
          <w:numId w:val="5"/>
        </w:numPr>
      </w:pPr>
      <w:r w:rsidRPr="004D5775">
        <w:t>Q2 Operating Revenue: RMB 219,898 million; Net Profit: RMB 83,580 million</w:t>
      </w:r>
    </w:p>
    <w:p w14:paraId="394F484D" w14:textId="77777777" w:rsidR="004D5775" w:rsidRDefault="004D5775" w:rsidP="004D5775">
      <w:pPr>
        <w:pStyle w:val="ListParagraph"/>
        <w:numPr>
          <w:ilvl w:val="0"/>
          <w:numId w:val="5"/>
        </w:numPr>
      </w:pPr>
      <w:r w:rsidRPr="004D5775">
        <w:t>Q3 Operating Revenue: RMB 203,774 million; Net Profit: RMB 94,929 million</w:t>
      </w:r>
    </w:p>
    <w:p w14:paraId="75786C0E" w14:textId="77777777" w:rsidR="004D5775" w:rsidRDefault="004D5775" w:rsidP="004D5775">
      <w:pPr>
        <w:pStyle w:val="ListParagraph"/>
        <w:numPr>
          <w:ilvl w:val="0"/>
          <w:numId w:val="5"/>
        </w:numPr>
      </w:pPr>
      <w:r w:rsidRPr="004D5775">
        <w:t>Q4 Operating Revenue: RMB 191,802 million; Net Profit: RMB 95,320 million</w:t>
      </w:r>
    </w:p>
    <w:p w14:paraId="655744C5" w14:textId="77777777" w:rsidR="004D5775" w:rsidRDefault="004D5775" w:rsidP="004D5775">
      <w:pPr>
        <w:pStyle w:val="Heading1"/>
      </w:pPr>
      <w:r>
        <w:t>Income and Profitability</w:t>
      </w:r>
    </w:p>
    <w:p w14:paraId="344FEA3C" w14:textId="77777777" w:rsidR="004D5775" w:rsidRDefault="004D5775" w:rsidP="004D5775">
      <w:pPr>
        <w:pStyle w:val="ListParagraph"/>
        <w:numPr>
          <w:ilvl w:val="0"/>
          <w:numId w:val="6"/>
        </w:numPr>
      </w:pPr>
      <w:r w:rsidRPr="004D5775">
        <w:t>CCB: Net interest income was RMB 617.23 billion, down by 4.11%. Non-interest income increased by 8.86% to RMB 152.50 billion.</w:t>
      </w:r>
    </w:p>
    <w:p w14:paraId="0A9A357B" w14:textId="77777777" w:rsidR="004D5775" w:rsidRDefault="004D5775" w:rsidP="004D5775">
      <w:pPr>
        <w:pStyle w:val="ListParagraph"/>
        <w:numPr>
          <w:ilvl w:val="0"/>
          <w:numId w:val="6"/>
        </w:numPr>
      </w:pPr>
      <w:r w:rsidRPr="004D5775">
        <w:t>BOC: Net interest income was RMB 466.545 billion, with interest income at RMB 10.488 trillion, up 19.07%. Non-interest income was RMB 157.593 billion, showing a significant growth of 23.90%.</w:t>
      </w:r>
    </w:p>
    <w:p w14:paraId="39D79F97" w14:textId="77777777" w:rsidR="004D5775" w:rsidRDefault="004D5775" w:rsidP="004D5775">
      <w:pPr>
        <w:pStyle w:val="Heading1"/>
      </w:pPr>
      <w:r>
        <w:lastRenderedPageBreak/>
        <w:t>Loan and Deposit Growth</w:t>
      </w:r>
    </w:p>
    <w:p w14:paraId="7438BE14" w14:textId="77777777" w:rsidR="004D5775" w:rsidRDefault="004D5775" w:rsidP="004D5775">
      <w:pPr>
        <w:pStyle w:val="ListParagraph"/>
        <w:numPr>
          <w:ilvl w:val="0"/>
          <w:numId w:val="7"/>
        </w:numPr>
      </w:pPr>
      <w:r w:rsidRPr="004D5775">
        <w:t>ICBC: The data specific to loan and deposit growth were not provided in detail.</w:t>
      </w:r>
    </w:p>
    <w:p w14:paraId="02FFB3A4" w14:textId="77777777" w:rsidR="004D5775" w:rsidRDefault="004D5775" w:rsidP="004D5775">
      <w:pPr>
        <w:pStyle w:val="ListParagraph"/>
        <w:numPr>
          <w:ilvl w:val="0"/>
          <w:numId w:val="7"/>
        </w:numPr>
      </w:pPr>
      <w:r w:rsidRPr="004D5775">
        <w:t>BOC: Customer deposits grew to RMB 22.907 trillion, up 13.39%. Customer loans increased to RMB 19.961 trillion, reflecting a growth of 13.72%.</w:t>
      </w:r>
    </w:p>
    <w:p w14:paraId="568F1987" w14:textId="77777777" w:rsidR="004D5775" w:rsidRDefault="004D5775" w:rsidP="004D5775">
      <w:pPr>
        <w:pStyle w:val="ListParagraph"/>
        <w:numPr>
          <w:ilvl w:val="0"/>
          <w:numId w:val="7"/>
        </w:numPr>
      </w:pPr>
      <w:r w:rsidRPr="004D5775">
        <w:t>CCB: Advances and loans reached RMB 23.08 trillion, a 12.64% increase. Deposits rose to RMB 27.65 trillion, up by 10.52%.</w:t>
      </w:r>
    </w:p>
    <w:p w14:paraId="6A88286F" w14:textId="77777777" w:rsidR="004D5775" w:rsidRDefault="004D5775" w:rsidP="004D5775">
      <w:pPr>
        <w:pStyle w:val="Heading1"/>
      </w:pPr>
      <w:r>
        <w:t>Asset Quality and Provisions</w:t>
      </w:r>
    </w:p>
    <w:p w14:paraId="6780C259" w14:textId="77777777" w:rsidR="004D5775" w:rsidRDefault="004D5775" w:rsidP="004D5775">
      <w:pPr>
        <w:pStyle w:val="ListParagraph"/>
        <w:numPr>
          <w:ilvl w:val="0"/>
          <w:numId w:val="8"/>
        </w:numPr>
      </w:pPr>
      <w:r w:rsidRPr="004D5775">
        <w:t>ICBC: Non-performing loan (NPL) ratio was 1.36%, and the provision coverage ratio was 213.97%.</w:t>
      </w:r>
    </w:p>
    <w:p w14:paraId="1873CB03" w14:textId="77777777" w:rsidR="004D5775" w:rsidRDefault="004D5775" w:rsidP="004D5775">
      <w:pPr>
        <w:pStyle w:val="ListParagraph"/>
        <w:numPr>
          <w:ilvl w:val="0"/>
          <w:numId w:val="8"/>
        </w:numPr>
      </w:pPr>
      <w:r w:rsidRPr="004D5775">
        <w:t>BOC: Non-performing loan (NPL) ratio stood at 1.27%, with a provision coverage ratio of 191.66%. Loan impairment losses amounted to RMB 106.562 billion.</w:t>
      </w:r>
    </w:p>
    <w:p w14:paraId="0196C24E" w14:textId="77777777" w:rsidR="004D5775" w:rsidRDefault="004D5775" w:rsidP="004D5775">
      <w:pPr>
        <w:pStyle w:val="ListParagraph"/>
        <w:numPr>
          <w:ilvl w:val="0"/>
          <w:numId w:val="8"/>
        </w:numPr>
      </w:pPr>
      <w:r w:rsidRPr="004D5775">
        <w:t>CCB: Non-performing loan (NPL) ratio was 1.37%, with a provision coverage ratio of 239.85%. Loan loss provisions were RMB 778.22 billion.</w:t>
      </w:r>
    </w:p>
    <w:p w14:paraId="63A8A1CD" w14:textId="77777777" w:rsidR="004D5775" w:rsidRDefault="004D5775" w:rsidP="004D5775">
      <w:pPr>
        <w:pStyle w:val="Heading1"/>
      </w:pPr>
      <w:r>
        <w:t>Capital Adequacy</w:t>
      </w:r>
    </w:p>
    <w:p w14:paraId="303AF126" w14:textId="77777777" w:rsidR="004D5775" w:rsidRDefault="004D5775" w:rsidP="004D5775">
      <w:pPr>
        <w:pStyle w:val="ListParagraph"/>
        <w:numPr>
          <w:ilvl w:val="0"/>
          <w:numId w:val="9"/>
        </w:numPr>
      </w:pPr>
      <w:r w:rsidRPr="004D5775">
        <w:t>ICBC: Specific ratios were not provided in the summary.</w:t>
      </w:r>
    </w:p>
    <w:p w14:paraId="3B75348F" w14:textId="77777777" w:rsidR="004D5775" w:rsidRDefault="004D5775" w:rsidP="004D5775">
      <w:pPr>
        <w:pStyle w:val="ListParagraph"/>
        <w:numPr>
          <w:ilvl w:val="0"/>
          <w:numId w:val="9"/>
        </w:numPr>
      </w:pPr>
      <w:r w:rsidRPr="004D5775">
        <w:t>BOC: Core tier-one capital adequacy ratio was 11.63%. The tier-one capital adequacy ratio was 13.83%, and the total capital adequacy ratio was 17.74%.</w:t>
      </w:r>
    </w:p>
    <w:p w14:paraId="4B3256AE" w14:textId="77777777" w:rsidR="004D5775" w:rsidRDefault="004D5775" w:rsidP="004D5775">
      <w:pPr>
        <w:pStyle w:val="ListParagraph"/>
        <w:numPr>
          <w:ilvl w:val="0"/>
          <w:numId w:val="9"/>
        </w:numPr>
      </w:pPr>
      <w:r w:rsidRPr="004D5775">
        <w:t>CCB: The capital adequacy ratio was 17.95%, with core tier-one capital adequacy at 13.15%.</w:t>
      </w:r>
    </w:p>
    <w:p w14:paraId="5775B96F" w14:textId="77777777" w:rsidR="004D5775" w:rsidRDefault="004D5775" w:rsidP="004D5775">
      <w:pPr>
        <w:pStyle w:val="Heading1"/>
      </w:pPr>
      <w:r>
        <w:t>Conclusion</w:t>
      </w:r>
    </w:p>
    <w:p w14:paraId="1EADDBD0" w14:textId="1E91B912" w:rsidR="004D5775" w:rsidRPr="004D5775" w:rsidRDefault="004D5775" w:rsidP="004D5775">
      <w:r w:rsidRPr="004D5775">
        <w:t>In summary, the financial performances of ICBC, BOC, and CCB in 2023 were robust, with each bank showcasing its strengths in different areas. ICBC maintained its leadership with the highest operating revenue and net profit. BOC demonstrated significant growth in assets and customer deposits, while CCB showed strong profitability and capital adequacy. Each bank's strategic focus and ability to adapt to economic conditions were key drivers of their successful financial outcomes in 2023.</w:t>
      </w:r>
    </w:p>
    <w:p w14:paraId="02C2868C" w14:textId="5C78BB14" w:rsidR="00B1382B" w:rsidRPr="004D5775" w:rsidRDefault="00B1382B" w:rsidP="004D5775"/>
    <w:sectPr w:rsidR="00B1382B" w:rsidRPr="004D5775" w:rsidSect="00C325FC">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321C"/>
    <w:multiLevelType w:val="hybridMultilevel"/>
    <w:tmpl w:val="198A3D5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19AB662A"/>
    <w:multiLevelType w:val="hybridMultilevel"/>
    <w:tmpl w:val="383603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1EC23616"/>
    <w:multiLevelType w:val="hybridMultilevel"/>
    <w:tmpl w:val="6DFA87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266A6AC5"/>
    <w:multiLevelType w:val="hybridMultilevel"/>
    <w:tmpl w:val="D138E83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2ACE6957"/>
    <w:multiLevelType w:val="hybridMultilevel"/>
    <w:tmpl w:val="007E591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2BEC46B9"/>
    <w:multiLevelType w:val="hybridMultilevel"/>
    <w:tmpl w:val="C2D293E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47682FCB"/>
    <w:multiLevelType w:val="hybridMultilevel"/>
    <w:tmpl w:val="9C24A2F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63D8163B"/>
    <w:multiLevelType w:val="hybridMultilevel"/>
    <w:tmpl w:val="2B4673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7D707F6D"/>
    <w:multiLevelType w:val="hybridMultilevel"/>
    <w:tmpl w:val="A57649C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197621716">
    <w:abstractNumId w:val="5"/>
  </w:num>
  <w:num w:numId="2" w16cid:durableId="1431973773">
    <w:abstractNumId w:val="8"/>
  </w:num>
  <w:num w:numId="3" w16cid:durableId="1503426627">
    <w:abstractNumId w:val="7"/>
  </w:num>
  <w:num w:numId="4" w16cid:durableId="1870071905">
    <w:abstractNumId w:val="2"/>
  </w:num>
  <w:num w:numId="5" w16cid:durableId="1498154972">
    <w:abstractNumId w:val="4"/>
  </w:num>
  <w:num w:numId="6" w16cid:durableId="1734624186">
    <w:abstractNumId w:val="0"/>
  </w:num>
  <w:num w:numId="7" w16cid:durableId="1510214620">
    <w:abstractNumId w:val="1"/>
  </w:num>
  <w:num w:numId="8" w16cid:durableId="2101679576">
    <w:abstractNumId w:val="6"/>
  </w:num>
  <w:num w:numId="9" w16cid:durableId="1549806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37"/>
    <w:rsid w:val="00225480"/>
    <w:rsid w:val="004770A1"/>
    <w:rsid w:val="004D5775"/>
    <w:rsid w:val="005B6E6B"/>
    <w:rsid w:val="00993F61"/>
    <w:rsid w:val="00AF3637"/>
    <w:rsid w:val="00B1382B"/>
    <w:rsid w:val="00B51775"/>
    <w:rsid w:val="00C325FC"/>
    <w:rsid w:val="00F263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685DD-9523-4505-909B-134AB612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AF3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3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3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637"/>
    <w:rPr>
      <w:rFonts w:eastAsiaTheme="majorEastAsia" w:cstheme="majorBidi"/>
      <w:color w:val="272727" w:themeColor="text1" w:themeTint="D8"/>
    </w:rPr>
  </w:style>
  <w:style w:type="paragraph" w:styleId="Title">
    <w:name w:val="Title"/>
    <w:basedOn w:val="Normal"/>
    <w:next w:val="Normal"/>
    <w:link w:val="TitleChar"/>
    <w:uiPriority w:val="10"/>
    <w:qFormat/>
    <w:rsid w:val="00AF3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637"/>
    <w:pPr>
      <w:spacing w:before="160"/>
      <w:jc w:val="center"/>
    </w:pPr>
    <w:rPr>
      <w:i/>
      <w:iCs/>
      <w:color w:val="404040" w:themeColor="text1" w:themeTint="BF"/>
    </w:rPr>
  </w:style>
  <w:style w:type="character" w:customStyle="1" w:styleId="QuoteChar">
    <w:name w:val="Quote Char"/>
    <w:basedOn w:val="DefaultParagraphFont"/>
    <w:link w:val="Quote"/>
    <w:uiPriority w:val="29"/>
    <w:rsid w:val="00AF3637"/>
    <w:rPr>
      <w:i/>
      <w:iCs/>
      <w:color w:val="404040" w:themeColor="text1" w:themeTint="BF"/>
    </w:rPr>
  </w:style>
  <w:style w:type="paragraph" w:styleId="ListParagraph">
    <w:name w:val="List Paragraph"/>
    <w:basedOn w:val="Normal"/>
    <w:uiPriority w:val="34"/>
    <w:qFormat/>
    <w:rsid w:val="00AF3637"/>
    <w:pPr>
      <w:ind w:left="720"/>
      <w:contextualSpacing/>
    </w:pPr>
  </w:style>
  <w:style w:type="character" w:styleId="IntenseEmphasis">
    <w:name w:val="Intense Emphasis"/>
    <w:basedOn w:val="DefaultParagraphFont"/>
    <w:uiPriority w:val="21"/>
    <w:qFormat/>
    <w:rsid w:val="00AF3637"/>
    <w:rPr>
      <w:i/>
      <w:iCs/>
      <w:color w:val="0F4761" w:themeColor="accent1" w:themeShade="BF"/>
    </w:rPr>
  </w:style>
  <w:style w:type="paragraph" w:styleId="IntenseQuote">
    <w:name w:val="Intense Quote"/>
    <w:basedOn w:val="Normal"/>
    <w:next w:val="Normal"/>
    <w:link w:val="IntenseQuoteChar"/>
    <w:uiPriority w:val="30"/>
    <w:qFormat/>
    <w:rsid w:val="00AF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637"/>
    <w:rPr>
      <w:i/>
      <w:iCs/>
      <w:color w:val="0F4761" w:themeColor="accent1" w:themeShade="BF"/>
    </w:rPr>
  </w:style>
  <w:style w:type="character" w:styleId="IntenseReference">
    <w:name w:val="Intense Reference"/>
    <w:basedOn w:val="DefaultParagraphFont"/>
    <w:uiPriority w:val="32"/>
    <w:qFormat/>
    <w:rsid w:val="00AF36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Cheung</dc:creator>
  <cp:keywords/>
  <dc:description/>
  <cp:lastModifiedBy>Bryan Cheung</cp:lastModifiedBy>
  <cp:revision>2</cp:revision>
  <dcterms:created xsi:type="dcterms:W3CDTF">2024-12-10T11:12:00Z</dcterms:created>
  <dcterms:modified xsi:type="dcterms:W3CDTF">2024-12-10T11:15:00Z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f124b8dffc73959a912000ebafd02da0538ebd2cbb00d405f0a93f89639875dd</vt:lpwstr>
  </property>
</Properties>
</file>